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FDC70" w14:textId="78DA8D25" w:rsidR="00FE067E" w:rsidRPr="006D3D6F" w:rsidRDefault="00CD36CF" w:rsidP="00CC1F3B">
      <w:pPr>
        <w:pStyle w:val="TitlePageOrigin"/>
        <w:rPr>
          <w:color w:val="auto"/>
        </w:rPr>
      </w:pPr>
      <w:r w:rsidRPr="006D3D6F">
        <w:rPr>
          <w:color w:val="auto"/>
        </w:rPr>
        <w:t>WEST virginia legislature</w:t>
      </w:r>
    </w:p>
    <w:p w14:paraId="39F89665" w14:textId="2AACB43B" w:rsidR="00CD36CF" w:rsidRPr="006D3D6F" w:rsidRDefault="00CD36CF" w:rsidP="00CC1F3B">
      <w:pPr>
        <w:pStyle w:val="TitlePageSession"/>
        <w:rPr>
          <w:color w:val="auto"/>
        </w:rPr>
      </w:pPr>
      <w:r w:rsidRPr="006D3D6F">
        <w:rPr>
          <w:color w:val="auto"/>
        </w:rPr>
        <w:t>20</w:t>
      </w:r>
      <w:r w:rsidR="006F5E6D" w:rsidRPr="006D3D6F">
        <w:rPr>
          <w:color w:val="auto"/>
        </w:rPr>
        <w:t>2</w:t>
      </w:r>
      <w:r w:rsidR="00E42873" w:rsidRPr="006D3D6F">
        <w:rPr>
          <w:color w:val="auto"/>
        </w:rPr>
        <w:t>1</w:t>
      </w:r>
      <w:r w:rsidRPr="006D3D6F">
        <w:rPr>
          <w:color w:val="auto"/>
        </w:rPr>
        <w:t xml:space="preserve"> regular session</w:t>
      </w:r>
    </w:p>
    <w:p w14:paraId="10AE7524" w14:textId="77777777" w:rsidR="00CD36CF" w:rsidRPr="006D3D6F" w:rsidRDefault="00243C0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D3D6F">
            <w:rPr>
              <w:color w:val="auto"/>
            </w:rPr>
            <w:t>Introduced</w:t>
          </w:r>
        </w:sdtContent>
      </w:sdt>
    </w:p>
    <w:p w14:paraId="0FD08E65" w14:textId="0AB0F93F" w:rsidR="00CD36CF" w:rsidRPr="006D3D6F" w:rsidRDefault="00243C0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32ACF" w:rsidRPr="006D3D6F">
            <w:rPr>
              <w:color w:val="auto"/>
            </w:rPr>
            <w:t>Senate</w:t>
          </w:r>
        </w:sdtContent>
      </w:sdt>
      <w:r w:rsidR="00303684" w:rsidRPr="006D3D6F">
        <w:rPr>
          <w:color w:val="auto"/>
        </w:rPr>
        <w:t xml:space="preserve"> </w:t>
      </w:r>
      <w:r w:rsidR="00CD36CF" w:rsidRPr="006D3D6F">
        <w:rPr>
          <w:color w:val="auto"/>
        </w:rPr>
        <w:t xml:space="preserve">Bill </w:t>
      </w:r>
      <w:sdt>
        <w:sdtPr>
          <w:rPr>
            <w:color w:val="auto"/>
          </w:rPr>
          <w:tag w:val="BNum"/>
          <w:id w:val="1645317809"/>
          <w:lock w:val="sdtLocked"/>
          <w:placeholder>
            <w:docPart w:val="20C22F1B7FBD4C33B249773D07E082F8"/>
          </w:placeholder>
          <w:text/>
        </w:sdtPr>
        <w:sdtEndPr/>
        <w:sdtContent>
          <w:r w:rsidR="00FB464F">
            <w:rPr>
              <w:color w:val="auto"/>
            </w:rPr>
            <w:t>451</w:t>
          </w:r>
        </w:sdtContent>
      </w:sdt>
    </w:p>
    <w:p w14:paraId="4EF36187" w14:textId="3AAA0963" w:rsidR="00CD36CF" w:rsidRPr="006D3D6F" w:rsidRDefault="00CD36CF" w:rsidP="00171479">
      <w:pPr>
        <w:pStyle w:val="Sponsors"/>
        <w:rPr>
          <w:color w:val="auto"/>
        </w:rPr>
      </w:pPr>
      <w:r w:rsidRPr="006D3D6F">
        <w:rPr>
          <w:color w:val="auto"/>
        </w:rPr>
        <w:t xml:space="preserve">By </w:t>
      </w:r>
      <w:sdt>
        <w:sdtPr>
          <w:rPr>
            <w:color w:val="auto"/>
          </w:rPr>
          <w:tag w:val="Sponsors"/>
          <w:id w:val="1589585889"/>
          <w:placeholder>
            <w:docPart w:val="D3DF987F6921417FB42A59748B040B52"/>
          </w:placeholder>
          <w:text w:multiLine="1"/>
        </w:sdtPr>
        <w:sdtEndPr/>
        <w:sdtContent>
          <w:r w:rsidR="00B32ACF" w:rsidRPr="006D3D6F">
            <w:rPr>
              <w:color w:val="auto"/>
            </w:rPr>
            <w:t>Senator</w:t>
          </w:r>
          <w:r w:rsidR="00243C0F">
            <w:rPr>
              <w:color w:val="auto"/>
            </w:rPr>
            <w:t>s</w:t>
          </w:r>
          <w:r w:rsidR="006F5E6D" w:rsidRPr="006D3D6F">
            <w:rPr>
              <w:color w:val="auto"/>
            </w:rPr>
            <w:t xml:space="preserve"> </w:t>
          </w:r>
          <w:r w:rsidR="00703793" w:rsidRPr="006D3D6F">
            <w:rPr>
              <w:color w:val="auto"/>
            </w:rPr>
            <w:t>Maynard</w:t>
          </w:r>
          <w:r w:rsidR="00243C0F">
            <w:rPr>
              <w:color w:val="auto"/>
            </w:rPr>
            <w:t xml:space="preserve"> and Karnes</w:t>
          </w:r>
        </w:sdtContent>
      </w:sdt>
    </w:p>
    <w:p w14:paraId="69F151A8" w14:textId="584B30B7" w:rsidR="00E831B3" w:rsidRPr="006D3D6F" w:rsidRDefault="00CD36CF" w:rsidP="007F1660">
      <w:pPr>
        <w:pStyle w:val="References"/>
        <w:rPr>
          <w:color w:val="auto"/>
        </w:rPr>
      </w:pPr>
      <w:r w:rsidRPr="006D3D6F">
        <w:rPr>
          <w:color w:val="auto"/>
        </w:rPr>
        <w:t>[</w:t>
      </w:r>
      <w:sdt>
        <w:sdtPr>
          <w:rPr>
            <w:color w:val="auto"/>
            <w:szCs w:val="24"/>
          </w:rPr>
          <w:tag w:val="References"/>
          <w:id w:val="-1043047873"/>
          <w:placeholder>
            <w:docPart w:val="86D2588D5BE4435AB3D90589B95411FC"/>
          </w:placeholder>
          <w:text w:multiLine="1"/>
        </w:sdtPr>
        <w:sdtEndPr/>
        <w:sdtContent>
          <w:r w:rsidR="00D14E2C" w:rsidRPr="006D3D6F">
            <w:rPr>
              <w:color w:val="auto"/>
              <w:szCs w:val="24"/>
            </w:rPr>
            <w:t>Introduced</w:t>
          </w:r>
          <w:r w:rsidR="00FB464F">
            <w:rPr>
              <w:color w:val="auto"/>
              <w:szCs w:val="24"/>
            </w:rPr>
            <w:t xml:space="preserve"> February 25, 2021; referred</w:t>
          </w:r>
          <w:r w:rsidR="00D14E2C" w:rsidRPr="006D3D6F">
            <w:rPr>
              <w:color w:val="auto"/>
              <w:szCs w:val="24"/>
            </w:rPr>
            <w:br/>
            <w:t xml:space="preserve">to the </w:t>
          </w:r>
          <w:r w:rsidR="006D3D6F" w:rsidRPr="006D3D6F">
            <w:rPr>
              <w:color w:val="auto"/>
              <w:szCs w:val="24"/>
            </w:rPr>
            <w:t>Committee on</w:t>
          </w:r>
          <w:r w:rsidR="004642B2">
            <w:rPr>
              <w:color w:val="auto"/>
              <w:szCs w:val="24"/>
            </w:rPr>
            <w:t xml:space="preserve"> the Judiciary</w:t>
          </w:r>
        </w:sdtContent>
      </w:sdt>
      <w:r w:rsidRPr="006D3D6F">
        <w:rPr>
          <w:color w:val="auto"/>
        </w:rPr>
        <w:t>]</w:t>
      </w:r>
    </w:p>
    <w:p w14:paraId="69D67D29" w14:textId="377C400E" w:rsidR="00B32ACF" w:rsidRPr="006D3D6F" w:rsidRDefault="0000526A" w:rsidP="00B32ACF">
      <w:pPr>
        <w:pStyle w:val="TitleSection"/>
        <w:rPr>
          <w:color w:val="auto"/>
        </w:rPr>
      </w:pPr>
      <w:r w:rsidRPr="006D3D6F">
        <w:rPr>
          <w:color w:val="auto"/>
        </w:rPr>
        <w:lastRenderedPageBreak/>
        <w:t>A BILL</w:t>
      </w:r>
      <w:r w:rsidR="00B32ACF" w:rsidRPr="006D3D6F">
        <w:rPr>
          <w:color w:val="auto"/>
        </w:rPr>
        <w:t xml:space="preserve"> to amend and reenact </w:t>
      </w:r>
      <w:r w:rsidR="00B32ACF" w:rsidRPr="006D3D6F">
        <w:rPr>
          <w:rFonts w:cs="Arial"/>
          <w:color w:val="auto"/>
        </w:rPr>
        <w:t>§</w:t>
      </w:r>
      <w:r w:rsidR="00703793" w:rsidRPr="006D3D6F">
        <w:rPr>
          <w:color w:val="auto"/>
        </w:rPr>
        <w:t>15</w:t>
      </w:r>
      <w:r w:rsidR="00B32ACF" w:rsidRPr="006D3D6F">
        <w:rPr>
          <w:color w:val="auto"/>
        </w:rPr>
        <w:t>-</w:t>
      </w:r>
      <w:r w:rsidR="00703793" w:rsidRPr="006D3D6F">
        <w:rPr>
          <w:color w:val="auto"/>
        </w:rPr>
        <w:t>5</w:t>
      </w:r>
      <w:r w:rsidR="00B32ACF" w:rsidRPr="006D3D6F">
        <w:rPr>
          <w:color w:val="auto"/>
        </w:rPr>
        <w:t>-</w:t>
      </w:r>
      <w:r w:rsidR="00703793" w:rsidRPr="006D3D6F">
        <w:rPr>
          <w:color w:val="auto"/>
        </w:rPr>
        <w:t>6</w:t>
      </w:r>
      <w:r w:rsidR="00B32ACF" w:rsidRPr="006D3D6F">
        <w:rPr>
          <w:color w:val="auto"/>
        </w:rPr>
        <w:t xml:space="preserve"> of the Code of West Virginia, 1931, as amended, relating to </w:t>
      </w:r>
      <w:r w:rsidR="00703793" w:rsidRPr="006D3D6F">
        <w:rPr>
          <w:color w:val="auto"/>
        </w:rPr>
        <w:t>modifying the power of the state government regarding the possession of firearms by individuals during a declared state of emergency</w:t>
      </w:r>
      <w:r w:rsidR="00B32ACF" w:rsidRPr="006D3D6F">
        <w:rPr>
          <w:color w:val="auto"/>
        </w:rPr>
        <w:t>.</w:t>
      </w:r>
    </w:p>
    <w:p w14:paraId="648C73A5" w14:textId="77777777" w:rsidR="00303684" w:rsidRPr="006D3D6F" w:rsidRDefault="00303684" w:rsidP="00CC1F3B">
      <w:pPr>
        <w:pStyle w:val="EnactingClause"/>
        <w:rPr>
          <w:color w:val="auto"/>
        </w:rPr>
        <w:sectPr w:rsidR="00303684" w:rsidRPr="006D3D6F" w:rsidSect="006206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3D6F">
        <w:rPr>
          <w:color w:val="auto"/>
        </w:rPr>
        <w:t>Be it enacted by the Legislature of West Virginia:</w:t>
      </w:r>
    </w:p>
    <w:p w14:paraId="7B3D7467" w14:textId="6E90A425" w:rsidR="00B32ACF" w:rsidRPr="006D3D6F" w:rsidRDefault="00B32ACF" w:rsidP="00B32ACF">
      <w:pPr>
        <w:pStyle w:val="ArticleHeading"/>
        <w:rPr>
          <w:color w:val="auto"/>
        </w:rPr>
      </w:pPr>
      <w:r w:rsidRPr="006D3D6F">
        <w:rPr>
          <w:color w:val="auto"/>
        </w:rPr>
        <w:t xml:space="preserve">ARTICLE </w:t>
      </w:r>
      <w:r w:rsidR="00703793" w:rsidRPr="006D3D6F">
        <w:rPr>
          <w:color w:val="auto"/>
        </w:rPr>
        <w:t>5. division of homeland security and emergency management</w:t>
      </w:r>
      <w:r w:rsidRPr="006D3D6F">
        <w:rPr>
          <w:color w:val="auto"/>
        </w:rPr>
        <w:t>.</w:t>
      </w:r>
    </w:p>
    <w:p w14:paraId="4F6C9A44" w14:textId="77777777" w:rsidR="00703793" w:rsidRPr="006D3D6F" w:rsidRDefault="00703793" w:rsidP="00E65EAF">
      <w:pPr>
        <w:pStyle w:val="SectionHeading"/>
        <w:rPr>
          <w:color w:val="auto"/>
        </w:rPr>
      </w:pPr>
      <w:r w:rsidRPr="006D3D6F">
        <w:rPr>
          <w:color w:val="auto"/>
        </w:rPr>
        <w:t>§15-5-6. Emergency powers of Governor.</w:t>
      </w:r>
    </w:p>
    <w:p w14:paraId="14670B02" w14:textId="77777777" w:rsidR="00703793" w:rsidRPr="006D3D6F" w:rsidRDefault="00703793" w:rsidP="004D0127">
      <w:pPr>
        <w:pStyle w:val="SectionBody"/>
        <w:rPr>
          <w:color w:val="auto"/>
        </w:rPr>
      </w:pPr>
      <w:r w:rsidRPr="006D3D6F">
        <w:rPr>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501DF935" w14:textId="77777777" w:rsidR="00703793" w:rsidRPr="006D3D6F" w:rsidRDefault="00703793" w:rsidP="004D0127">
      <w:pPr>
        <w:pStyle w:val="SectionBody"/>
        <w:rPr>
          <w:color w:val="auto"/>
        </w:rPr>
      </w:pPr>
      <w:r w:rsidRPr="006D3D6F">
        <w:rPr>
          <w:color w:val="auto"/>
        </w:rPr>
        <w:t xml:space="preserve">(b)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 </w:t>
      </w:r>
      <w:r w:rsidRPr="006D3D6F">
        <w:rPr>
          <w:i/>
          <w:iCs/>
          <w:color w:val="auto"/>
        </w:rPr>
        <w:t>Provided,</w:t>
      </w:r>
      <w:r w:rsidRPr="006D3D6F">
        <w:rPr>
          <w:color w:val="auto"/>
        </w:rPr>
        <w:t xml:space="preserve"> That in no case shall a state of preparedness last longer than thirty days.</w:t>
      </w:r>
    </w:p>
    <w:p w14:paraId="28EE49E9" w14:textId="77777777" w:rsidR="00703793" w:rsidRPr="006D3D6F" w:rsidRDefault="00703793" w:rsidP="004D0127">
      <w:pPr>
        <w:pStyle w:val="SectionBody"/>
        <w:rPr>
          <w:color w:val="auto"/>
        </w:rPr>
      </w:pPr>
      <w:r w:rsidRPr="006D3D6F">
        <w:rPr>
          <w:color w:val="auto"/>
        </w:rPr>
        <w:t>(c) So long as a state of emergency or state of preparedness exists, the Governor has and may exercise the following additional emergency powers:</w:t>
      </w:r>
    </w:p>
    <w:p w14:paraId="58963973" w14:textId="77777777" w:rsidR="00703793" w:rsidRPr="006D3D6F" w:rsidRDefault="00703793" w:rsidP="004D0127">
      <w:pPr>
        <w:pStyle w:val="SectionBody"/>
        <w:rPr>
          <w:color w:val="auto"/>
        </w:rPr>
      </w:pPr>
      <w:r w:rsidRPr="006D3D6F">
        <w:rPr>
          <w:color w:val="auto"/>
        </w:rPr>
        <w:t>(1) To enforce all laws and rules relating to the provision of emergency services and to assume direct operational control of any or all emergency service forces and helpers in the state;</w:t>
      </w:r>
    </w:p>
    <w:p w14:paraId="1626C766" w14:textId="77777777" w:rsidR="00703793" w:rsidRPr="006D3D6F" w:rsidRDefault="00703793" w:rsidP="004D0127">
      <w:pPr>
        <w:pStyle w:val="SectionBody"/>
        <w:rPr>
          <w:color w:val="auto"/>
        </w:rPr>
      </w:pPr>
      <w:r w:rsidRPr="006D3D6F">
        <w:rPr>
          <w:color w:val="auto"/>
        </w:rPr>
        <w:lastRenderedPageBreak/>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68BC46A1" w14:textId="77777777" w:rsidR="00703793" w:rsidRPr="006D3D6F" w:rsidRDefault="00703793" w:rsidP="004D0127">
      <w:pPr>
        <w:pStyle w:val="SectionBody"/>
        <w:rPr>
          <w:color w:val="auto"/>
        </w:rPr>
      </w:pPr>
      <w:r w:rsidRPr="006D3D6F">
        <w:rPr>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19EE7FA2" w14:textId="77777777" w:rsidR="00703793" w:rsidRPr="006D3D6F" w:rsidRDefault="00703793" w:rsidP="004D0127">
      <w:pPr>
        <w:pStyle w:val="SectionBody"/>
        <w:rPr>
          <w:color w:val="auto"/>
        </w:rPr>
      </w:pPr>
      <w:r w:rsidRPr="006D3D6F">
        <w:rPr>
          <w:color w:val="auto"/>
        </w:rPr>
        <w:t>(4) To obtain the services of necessary personnel, required during the emergency, and to compensate them for their services from his or her contingent funds or other funds available to him or her;</w:t>
      </w:r>
    </w:p>
    <w:p w14:paraId="6DA327F7" w14:textId="77777777" w:rsidR="00703793" w:rsidRPr="006D3D6F" w:rsidRDefault="00703793" w:rsidP="004D0127">
      <w:pPr>
        <w:pStyle w:val="SectionBody"/>
        <w:rPr>
          <w:color w:val="auto"/>
        </w:rPr>
      </w:pPr>
      <w:r w:rsidRPr="006D3D6F">
        <w:rPr>
          <w:color w:val="auto"/>
        </w:rPr>
        <w:t>(5) To provide and compel the evacuation of all or part of the population from any stricken or threatened area within the state and to take steps that are necessary for the receipt and care of the evacuees;</w:t>
      </w:r>
    </w:p>
    <w:p w14:paraId="27411ED3" w14:textId="77777777" w:rsidR="00703793" w:rsidRPr="006D3D6F" w:rsidRDefault="00703793" w:rsidP="004D0127">
      <w:pPr>
        <w:pStyle w:val="SectionBody"/>
        <w:rPr>
          <w:color w:val="auto"/>
        </w:rPr>
      </w:pPr>
      <w:r w:rsidRPr="006D3D6F">
        <w:rPr>
          <w:color w:val="auto"/>
        </w:rPr>
        <w:t>(6) To control ingress and egress to and from a disaster area or an area where large-scale threat exists, the movement of persons within the area and the occupancy of premises therein;</w:t>
      </w:r>
    </w:p>
    <w:p w14:paraId="0848544E" w14:textId="77777777" w:rsidR="00703793" w:rsidRPr="006D3D6F" w:rsidRDefault="00703793" w:rsidP="004D0127">
      <w:pPr>
        <w:pStyle w:val="SectionBody"/>
        <w:rPr>
          <w:color w:val="auto"/>
        </w:rPr>
      </w:pPr>
      <w:r w:rsidRPr="006D3D6F">
        <w:rPr>
          <w:color w:val="auto"/>
        </w:rPr>
        <w:t>(7)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59D6EB08" w14:textId="77777777" w:rsidR="00703793" w:rsidRPr="006D3D6F" w:rsidRDefault="00703793" w:rsidP="004D0127">
      <w:pPr>
        <w:pStyle w:val="SectionBody"/>
        <w:rPr>
          <w:color w:val="auto"/>
        </w:rPr>
      </w:pPr>
      <w:r w:rsidRPr="006D3D6F">
        <w:rPr>
          <w:color w:val="auto"/>
        </w:rPr>
        <w:t>(8) To use available resources of the state and of its political subdivisions that are reasonably necessary to cope with the emergency;</w:t>
      </w:r>
    </w:p>
    <w:p w14:paraId="114D5980" w14:textId="75A500BD" w:rsidR="00703793" w:rsidRPr="006D3D6F" w:rsidRDefault="00703793" w:rsidP="004D0127">
      <w:pPr>
        <w:pStyle w:val="SectionBody"/>
        <w:rPr>
          <w:rFonts w:eastAsiaTheme="minorHAnsi"/>
          <w:color w:val="auto"/>
        </w:rPr>
      </w:pPr>
      <w:r w:rsidRPr="006D3D6F">
        <w:rPr>
          <w:color w:val="auto"/>
        </w:rPr>
        <w:t xml:space="preserve">(9) To suspend or limit the sale, dispensing or transportation of alcoholic beverages, explosives and combustibles, </w:t>
      </w:r>
      <w:r w:rsidRPr="006D3D6F">
        <w:rPr>
          <w:color w:val="auto"/>
          <w:u w:val="single"/>
        </w:rPr>
        <w:t>not including firearms ammunition, firearms ammunition components, or ammunition-reloading equipment and supplies;</w:t>
      </w:r>
    </w:p>
    <w:p w14:paraId="250382AD" w14:textId="0CB83170" w:rsidR="00703793" w:rsidRPr="006D3D6F" w:rsidRDefault="00703793" w:rsidP="004D0127">
      <w:pPr>
        <w:pStyle w:val="SectionBody"/>
        <w:rPr>
          <w:color w:val="auto"/>
        </w:rPr>
      </w:pPr>
      <w:r w:rsidRPr="006D3D6F">
        <w:rPr>
          <w:color w:val="auto"/>
        </w:rPr>
        <w:t>(10) To make provision for the availability and use of temporary emergency housing; and</w:t>
      </w:r>
    </w:p>
    <w:p w14:paraId="12B8E87D" w14:textId="77777777" w:rsidR="00703793" w:rsidRPr="006D3D6F" w:rsidRDefault="00703793" w:rsidP="004D0127">
      <w:pPr>
        <w:pStyle w:val="SectionBody"/>
        <w:rPr>
          <w:color w:val="auto"/>
        </w:rPr>
      </w:pPr>
      <w:r w:rsidRPr="006D3D6F">
        <w:rPr>
          <w:color w:val="auto"/>
        </w:rPr>
        <w:lastRenderedPageBreak/>
        <w:t>(11) To perform and exercise other functions, powers and duties that are necessary to promote and secure the safety and protection of the civilian population.</w:t>
      </w:r>
    </w:p>
    <w:p w14:paraId="5ABBBB61" w14:textId="77777777" w:rsidR="00703793" w:rsidRPr="006D3D6F" w:rsidRDefault="00703793" w:rsidP="004D0127">
      <w:pPr>
        <w:pStyle w:val="SectionBody"/>
        <w:rPr>
          <w:color w:val="auto"/>
        </w:rPr>
      </w:pPr>
      <w:r w:rsidRPr="006D3D6F">
        <w:rPr>
          <w:color w:val="auto"/>
        </w:rPr>
        <w:t>(d) The declaration of a state of preparedness has the same effect as a declaration of a state of emergency for the purposes of the Emergency Management Assistance Compact established in section twenty-two of this article and the Statewide Mutual Aid Systems set forth in section twenty-eight of this article.</w:t>
      </w:r>
    </w:p>
    <w:p w14:paraId="3A9E2231" w14:textId="3C490821" w:rsidR="00703793" w:rsidRPr="006D3D6F" w:rsidRDefault="00703793" w:rsidP="004D0127">
      <w:pPr>
        <w:pStyle w:val="SectionBody"/>
        <w:rPr>
          <w:color w:val="auto"/>
        </w:rPr>
      </w:pPr>
      <w:r w:rsidRPr="006D3D6F">
        <w:rPr>
          <w:color w:val="auto"/>
        </w:rPr>
        <w:t>(e) The powers granted under this section do not authorize any action that would violate the prohibitions of section nineteen-a of this article.</w:t>
      </w:r>
    </w:p>
    <w:p w14:paraId="0B3A92CF" w14:textId="77777777" w:rsidR="00E65EAF" w:rsidRPr="006D3D6F" w:rsidRDefault="00703793" w:rsidP="004D0127">
      <w:pPr>
        <w:pStyle w:val="SectionHeading"/>
        <w:rPr>
          <w:color w:val="auto"/>
        </w:rPr>
        <w:sectPr w:rsidR="00E65EAF" w:rsidRPr="006D3D6F" w:rsidSect="00620624">
          <w:type w:val="continuous"/>
          <w:pgSz w:w="12240" w:h="15840"/>
          <w:pgMar w:top="1440" w:right="1440" w:bottom="1440" w:left="1440" w:header="720" w:footer="720" w:gutter="0"/>
          <w:lnNumType w:countBy="1" w:restart="newSection"/>
          <w:cols w:space="720"/>
          <w:noEndnote/>
          <w:docGrid w:linePitch="326"/>
        </w:sectPr>
      </w:pPr>
      <w:r w:rsidRPr="006D3D6F">
        <w:rPr>
          <w:color w:val="auto"/>
        </w:rPr>
        <w:t>§15-5-19a. Possession of firearms during a declared state of emergency.</w:t>
      </w:r>
    </w:p>
    <w:p w14:paraId="0DAC1CEF" w14:textId="0A37F1D0" w:rsidR="00E65EAF" w:rsidRPr="006D3D6F" w:rsidRDefault="00E65EAF" w:rsidP="004D0127">
      <w:pPr>
        <w:pStyle w:val="SectionBody"/>
        <w:rPr>
          <w:color w:val="auto"/>
          <w:u w:val="single"/>
        </w:rPr>
      </w:pPr>
      <w:r w:rsidRPr="006D3D6F">
        <w:rPr>
          <w:color w:val="auto"/>
        </w:rPr>
        <w:t xml:space="preserve">(a) </w:t>
      </w:r>
      <w:r w:rsidRPr="006D3D6F">
        <w:rPr>
          <w:strike/>
          <w:color w:val="auto"/>
        </w:rPr>
        <w:t>No person acting on behalf or under the authority of the state or a political subdivision of the state may do any of the following during any federal or state declared state of emergency</w:t>
      </w:r>
      <w:r w:rsidRPr="006D3D6F">
        <w:rPr>
          <w:color w:val="auto"/>
          <w:u w:val="single"/>
        </w:rPr>
        <w:t xml:space="preserve"> No state agency, political subdivision, or any elected or appointed official or employee of this state or of a political subdivision may, under any governmental authority or color of law, including any other statutorily authorized responses to disaster, war, acts of terrorism, or emergencies of whatever kind or nature:</w:t>
      </w:r>
    </w:p>
    <w:p w14:paraId="5B625661" w14:textId="6686E150" w:rsidR="00E65EAF" w:rsidRPr="006D3D6F" w:rsidRDefault="00E65EAF" w:rsidP="004D0127">
      <w:pPr>
        <w:pStyle w:val="SectionBody"/>
        <w:rPr>
          <w:color w:val="auto"/>
        </w:rPr>
      </w:pPr>
      <w:r w:rsidRPr="006D3D6F">
        <w:rPr>
          <w:color w:val="auto"/>
        </w:rPr>
        <w:t xml:space="preserve">(1) Prohibit or restrict the otherwise lawful possession, use, carrying, transfer, transportation, storage, </w:t>
      </w:r>
      <w:r w:rsidRPr="006D3D6F">
        <w:rPr>
          <w:color w:val="auto"/>
          <w:u w:val="single"/>
        </w:rPr>
        <w:t>sale,</w:t>
      </w:r>
      <w:r w:rsidRPr="006D3D6F">
        <w:rPr>
          <w:color w:val="auto"/>
        </w:rPr>
        <w:t xml:space="preserve"> </w:t>
      </w:r>
      <w:r w:rsidRPr="006D3D6F">
        <w:rPr>
          <w:strike/>
          <w:color w:val="auto"/>
        </w:rPr>
        <w:t>or</w:t>
      </w:r>
      <w:r w:rsidRPr="006D3D6F">
        <w:rPr>
          <w:color w:val="auto"/>
        </w:rPr>
        <w:t xml:space="preserve"> display, </w:t>
      </w:r>
      <w:r w:rsidRPr="006D3D6F">
        <w:rPr>
          <w:color w:val="auto"/>
          <w:u w:val="single"/>
        </w:rPr>
        <w:t>or other lawful use</w:t>
      </w:r>
      <w:r w:rsidRPr="006D3D6F">
        <w:rPr>
          <w:color w:val="auto"/>
        </w:rPr>
        <w:t xml:space="preserve"> of a firearm or ammunition, </w:t>
      </w:r>
      <w:bookmarkStart w:id="0" w:name="_Hlk60928562"/>
      <w:r w:rsidRPr="006D3D6F">
        <w:rPr>
          <w:color w:val="auto"/>
          <w:u w:val="single"/>
        </w:rPr>
        <w:t>any firearm or ammunition component or accessory</w:t>
      </w:r>
      <w:bookmarkEnd w:id="0"/>
      <w:r w:rsidRPr="006D3D6F">
        <w:rPr>
          <w:color w:val="auto"/>
          <w:u w:val="single"/>
        </w:rPr>
        <w:t xml:space="preserve">, </w:t>
      </w:r>
      <w:bookmarkStart w:id="1" w:name="_Hlk60929980"/>
      <w:r w:rsidRPr="006D3D6F">
        <w:rPr>
          <w:color w:val="auto"/>
          <w:u w:val="single"/>
        </w:rPr>
        <w:t>ammunition-reloading equipment and supplies</w:t>
      </w:r>
      <w:bookmarkEnd w:id="1"/>
      <w:r w:rsidRPr="006D3D6F">
        <w:rPr>
          <w:color w:val="auto"/>
          <w:u w:val="single"/>
        </w:rPr>
        <w:t>, or personal weapons other than firearms;</w:t>
      </w:r>
    </w:p>
    <w:p w14:paraId="555F2962" w14:textId="77777777" w:rsidR="00E65EAF" w:rsidRPr="006D3D6F" w:rsidRDefault="00E65EAF" w:rsidP="004D0127">
      <w:pPr>
        <w:pStyle w:val="SectionBody"/>
        <w:rPr>
          <w:color w:val="auto"/>
        </w:rPr>
      </w:pPr>
      <w:r w:rsidRPr="006D3D6F">
        <w:rPr>
          <w:color w:val="auto"/>
        </w:rPr>
        <w:t xml:space="preserve">(2) Seize, confiscate, or authorize the seizure or confiscation of any otherwise lawfully-possessed firearm or ammunition, </w:t>
      </w:r>
      <w:r w:rsidRPr="006D3D6F">
        <w:rPr>
          <w:color w:val="auto"/>
          <w:u w:val="single"/>
        </w:rPr>
        <w:t xml:space="preserve">any </w:t>
      </w:r>
      <w:bookmarkStart w:id="2" w:name="_Hlk60928980"/>
      <w:r w:rsidRPr="006D3D6F">
        <w:rPr>
          <w:color w:val="auto"/>
          <w:u w:val="single"/>
        </w:rPr>
        <w:t>firearm or ammunition component or accessory, ammunition-reloading equipment and supplies, or personal weapons other than firearms</w:t>
      </w:r>
      <w:bookmarkEnd w:id="2"/>
      <w:r w:rsidRPr="006D3D6F">
        <w:rPr>
          <w:color w:val="auto"/>
        </w:rPr>
        <w:t xml:space="preserve"> unless:</w:t>
      </w:r>
    </w:p>
    <w:p w14:paraId="2A52D169" w14:textId="77777777" w:rsidR="00703793" w:rsidRPr="006D3D6F" w:rsidRDefault="00703793" w:rsidP="004D0127">
      <w:pPr>
        <w:pStyle w:val="SectionBody"/>
        <w:rPr>
          <w:color w:val="auto"/>
        </w:rPr>
      </w:pPr>
      <w:r w:rsidRPr="006D3D6F">
        <w:rPr>
          <w:color w:val="auto"/>
        </w:rPr>
        <w:t>(A) The person acting on behalf of or under the authority of the state or political subdivision is:</w:t>
      </w:r>
    </w:p>
    <w:p w14:paraId="463871C0" w14:textId="77777777" w:rsidR="00703793" w:rsidRPr="006D3D6F" w:rsidRDefault="00703793" w:rsidP="004D0127">
      <w:pPr>
        <w:pStyle w:val="SectionBody"/>
        <w:rPr>
          <w:color w:val="auto"/>
        </w:rPr>
      </w:pPr>
      <w:r w:rsidRPr="006D3D6F">
        <w:rPr>
          <w:color w:val="auto"/>
        </w:rPr>
        <w:t xml:space="preserve">(i) Defending himself or another from an assault; or, </w:t>
      </w:r>
    </w:p>
    <w:p w14:paraId="7E70ACF6" w14:textId="77777777" w:rsidR="00703793" w:rsidRPr="006D3D6F" w:rsidRDefault="00703793" w:rsidP="004D0127">
      <w:pPr>
        <w:pStyle w:val="SectionBody"/>
        <w:rPr>
          <w:color w:val="auto"/>
        </w:rPr>
      </w:pPr>
      <w:r w:rsidRPr="006D3D6F">
        <w:rPr>
          <w:color w:val="auto"/>
        </w:rPr>
        <w:t xml:space="preserve">(ii) Arresting a person in actual possession of a firearm or ammunition for a violation of </w:t>
      </w:r>
      <w:r w:rsidRPr="006D3D6F">
        <w:rPr>
          <w:color w:val="auto"/>
        </w:rPr>
        <w:lastRenderedPageBreak/>
        <w:t>law; or,</w:t>
      </w:r>
    </w:p>
    <w:p w14:paraId="43A84DE1" w14:textId="77777777" w:rsidR="00703793" w:rsidRPr="006D3D6F" w:rsidRDefault="00703793" w:rsidP="004D0127">
      <w:pPr>
        <w:pStyle w:val="SectionBody"/>
        <w:rPr>
          <w:color w:val="auto"/>
        </w:rPr>
      </w:pPr>
      <w:r w:rsidRPr="006D3D6F">
        <w:rPr>
          <w:color w:val="auto"/>
        </w:rPr>
        <w:t>(B) The firearm or ammunition is being seized or confiscated as evidence of a crime; or,</w:t>
      </w:r>
    </w:p>
    <w:p w14:paraId="6DC364EA" w14:textId="77777777" w:rsidR="00E65EAF" w:rsidRPr="006D3D6F" w:rsidRDefault="00E65EAF" w:rsidP="004D0127">
      <w:pPr>
        <w:pStyle w:val="SectionBody"/>
        <w:rPr>
          <w:color w:val="auto"/>
        </w:rPr>
      </w:pPr>
      <w:r w:rsidRPr="006D3D6F">
        <w:rPr>
          <w:color w:val="auto"/>
        </w:rPr>
        <w:t xml:space="preserve">(3) Require registration of any firearm or ammunition, </w:t>
      </w:r>
      <w:r w:rsidRPr="006D3D6F">
        <w:rPr>
          <w:color w:val="auto"/>
          <w:u w:val="single"/>
        </w:rPr>
        <w:t>any firearm or ammunition component or accessory, ammunition-reloading equipment and supplies, or personal weapons other than firearms;</w:t>
      </w:r>
    </w:p>
    <w:p w14:paraId="277FCF43" w14:textId="323EF246" w:rsidR="00E65EAF" w:rsidRPr="006D3D6F" w:rsidRDefault="00E65EAF" w:rsidP="004D0127">
      <w:pPr>
        <w:pStyle w:val="SectionBody"/>
        <w:rPr>
          <w:color w:val="auto"/>
          <w:u w:val="single"/>
        </w:rPr>
      </w:pPr>
      <w:r w:rsidRPr="006D3D6F">
        <w:rPr>
          <w:color w:val="auto"/>
          <w:u w:val="single"/>
        </w:rPr>
        <w:t xml:space="preserve">(4) Suspend or revoke </w:t>
      </w:r>
      <w:bookmarkStart w:id="3" w:name="_Hlk60929494"/>
      <w:r w:rsidRPr="006D3D6F">
        <w:rPr>
          <w:color w:val="auto"/>
          <w:u w:val="single"/>
        </w:rPr>
        <w:t>a license to carry a concealed deadly weapon or provisional license to carry a concealed deadly weapon</w:t>
      </w:r>
      <w:bookmarkEnd w:id="3"/>
      <w:r w:rsidRPr="006D3D6F">
        <w:rPr>
          <w:color w:val="auto"/>
          <w:u w:val="single"/>
        </w:rPr>
        <w:t xml:space="preserve"> issued pursuant to </w:t>
      </w:r>
      <w:bookmarkStart w:id="4" w:name="_Hlk64749082"/>
      <w:r w:rsidR="00EB6217" w:rsidRPr="006D3D6F">
        <w:rPr>
          <w:color w:val="auto"/>
          <w:u w:val="single"/>
        </w:rPr>
        <w:t xml:space="preserve">§61-7-1 </w:t>
      </w:r>
      <w:r w:rsidR="00EB6217" w:rsidRPr="006D3D6F">
        <w:rPr>
          <w:i/>
          <w:iCs/>
          <w:color w:val="auto"/>
          <w:u w:val="single"/>
        </w:rPr>
        <w:t>et seq.</w:t>
      </w:r>
      <w:bookmarkEnd w:id="4"/>
      <w:r w:rsidRPr="006D3D6F">
        <w:rPr>
          <w:color w:val="auto"/>
          <w:u w:val="single"/>
        </w:rPr>
        <w:t xml:space="preserve"> </w:t>
      </w:r>
      <w:r w:rsidR="00EB6217" w:rsidRPr="006D3D6F">
        <w:rPr>
          <w:color w:val="auto"/>
          <w:u w:val="single"/>
        </w:rPr>
        <w:t xml:space="preserve">of this code </w:t>
      </w:r>
      <w:r w:rsidRPr="006D3D6F">
        <w:rPr>
          <w:color w:val="auto"/>
          <w:u w:val="single"/>
        </w:rPr>
        <w:t>except as expressly authorized in that article;</w:t>
      </w:r>
    </w:p>
    <w:p w14:paraId="2663A8AA" w14:textId="294AA999" w:rsidR="00E65EAF" w:rsidRPr="006D3D6F" w:rsidRDefault="00E65EAF" w:rsidP="004D0127">
      <w:pPr>
        <w:pStyle w:val="SectionBody"/>
        <w:rPr>
          <w:color w:val="auto"/>
          <w:u w:val="single"/>
        </w:rPr>
      </w:pPr>
      <w:r w:rsidRPr="006D3D6F">
        <w:rPr>
          <w:color w:val="auto"/>
          <w:u w:val="single"/>
        </w:rPr>
        <w:t xml:space="preserve">(5) Refuse to accept an application for a license to carry a concealed deadly weapon or provisional license to carry a concealed deadly weapon, provided the application has been properly completed in accordance with </w:t>
      </w:r>
      <w:r w:rsidR="00EB6217" w:rsidRPr="006D3D6F">
        <w:rPr>
          <w:color w:val="auto"/>
          <w:u w:val="single"/>
        </w:rPr>
        <w:t xml:space="preserve">§61-7-1 </w:t>
      </w:r>
      <w:r w:rsidR="00EB6217" w:rsidRPr="006D3D6F">
        <w:rPr>
          <w:i/>
          <w:iCs/>
          <w:color w:val="auto"/>
          <w:u w:val="single"/>
        </w:rPr>
        <w:t xml:space="preserve">et seq. </w:t>
      </w:r>
      <w:r w:rsidR="00EB6217" w:rsidRPr="006D3D6F">
        <w:rPr>
          <w:color w:val="auto"/>
          <w:u w:val="single"/>
        </w:rPr>
        <w:t>of this code</w:t>
      </w:r>
      <w:r w:rsidRPr="006D3D6F">
        <w:rPr>
          <w:color w:val="auto"/>
          <w:u w:val="single"/>
        </w:rPr>
        <w:t>;</w:t>
      </w:r>
    </w:p>
    <w:p w14:paraId="489478F8" w14:textId="77777777" w:rsidR="00E65EAF" w:rsidRPr="006D3D6F" w:rsidRDefault="00E65EAF" w:rsidP="004D0127">
      <w:pPr>
        <w:pStyle w:val="SectionBody"/>
        <w:rPr>
          <w:color w:val="auto"/>
          <w:u w:val="single"/>
        </w:rPr>
      </w:pPr>
      <w:r w:rsidRPr="006D3D6F">
        <w:rPr>
          <w:color w:val="auto"/>
          <w:u w:val="single"/>
        </w:rPr>
        <w:t>(6) Close or limit the operating hours of any entity engaged in the lawful selling or servicing of any firearm, including any component or accessory, ammunition, including any component or accessory, ammunition-reloading equipment and supplies, or personal weapons other than firearms, unless the closing or limitation of hours applies equally to all forms of commerce within the jurisdiction;</w:t>
      </w:r>
    </w:p>
    <w:p w14:paraId="26309219" w14:textId="77777777" w:rsidR="00E65EAF" w:rsidRPr="006D3D6F" w:rsidRDefault="00E65EAF" w:rsidP="004D0127">
      <w:pPr>
        <w:pStyle w:val="SectionBody"/>
        <w:rPr>
          <w:color w:val="auto"/>
          <w:u w:val="single"/>
        </w:rPr>
      </w:pPr>
      <w:r w:rsidRPr="006D3D6F">
        <w:rPr>
          <w:color w:val="auto"/>
          <w:u w:val="single"/>
        </w:rPr>
        <w:t>(7) Close or limit the operating hours of any indoor or outdoor shooting range;</w:t>
      </w:r>
    </w:p>
    <w:p w14:paraId="070B35D6" w14:textId="6AF72418" w:rsidR="00E65EAF" w:rsidRPr="006D3D6F" w:rsidRDefault="00E65EAF" w:rsidP="004D0127">
      <w:pPr>
        <w:pStyle w:val="SectionBody"/>
        <w:rPr>
          <w:color w:val="auto"/>
          <w:u w:val="single"/>
        </w:rPr>
      </w:pPr>
      <w:r w:rsidRPr="006D3D6F">
        <w:rPr>
          <w:color w:val="auto"/>
          <w:u w:val="single"/>
        </w:rPr>
        <w:t>(8) Place restrictions or quantity limitations on any entity regarding the lawful sale or servicing of any firearm or ammunition, any firearm or ammunition component or accessory, ammunition-reloading equipment and supplies, or personal weapons other than firearms.</w:t>
      </w:r>
    </w:p>
    <w:p w14:paraId="7ABD8A68" w14:textId="45D87EFC" w:rsidR="00E65EAF" w:rsidRPr="006D3D6F" w:rsidRDefault="00E65EAF" w:rsidP="00E65EAF">
      <w:pPr>
        <w:ind w:firstLine="720"/>
        <w:rPr>
          <w:rStyle w:val="SectionBodyChar"/>
          <w:strike/>
          <w:color w:val="auto"/>
        </w:rPr>
      </w:pPr>
      <w:r w:rsidRPr="006D3D6F">
        <w:rPr>
          <w:strike/>
          <w:color w:val="auto"/>
        </w:rPr>
        <w:t>(</w:t>
      </w:r>
      <w:r w:rsidRPr="006D3D6F">
        <w:rPr>
          <w:rStyle w:val="SectionBodyChar"/>
          <w:strike/>
          <w:color w:val="auto"/>
        </w:rPr>
        <w:t>b) The prohibitions of subsection (a)(1) do not prohibit the state or an authorized state or local authority from ordering and enforcing an evacuation or general closure of businesses in the affected area during a declared state of emergency</w:t>
      </w:r>
    </w:p>
    <w:p w14:paraId="74C822EA" w14:textId="675B47AC" w:rsidR="00E65EAF" w:rsidRPr="006D3D6F" w:rsidRDefault="00E65EAF" w:rsidP="004D0127">
      <w:pPr>
        <w:pStyle w:val="SectionBody"/>
        <w:rPr>
          <w:color w:val="auto"/>
        </w:rPr>
      </w:pPr>
      <w:r w:rsidRPr="006D3D6F">
        <w:rPr>
          <w:strike/>
          <w:color w:val="auto"/>
        </w:rPr>
        <w:t>(c)</w:t>
      </w:r>
      <w:r w:rsidRPr="006D3D6F">
        <w:rPr>
          <w:color w:val="auto"/>
          <w:u w:val="single"/>
        </w:rPr>
        <w:t>(</w:t>
      </w:r>
      <w:r w:rsidR="006D3D6F" w:rsidRPr="006D3D6F">
        <w:rPr>
          <w:color w:val="auto"/>
          <w:u w:val="single"/>
        </w:rPr>
        <w:t>b</w:t>
      </w:r>
      <w:r w:rsidRPr="006D3D6F">
        <w:rPr>
          <w:color w:val="auto"/>
          <w:u w:val="single"/>
        </w:rPr>
        <w:t>)</w:t>
      </w:r>
      <w:r w:rsidRPr="006D3D6F">
        <w:rPr>
          <w:color w:val="auto"/>
        </w:rPr>
        <w:t xml:space="preserve"> Any individual </w:t>
      </w:r>
      <w:r w:rsidRPr="006D3D6F">
        <w:rPr>
          <w:strike/>
          <w:color w:val="auto"/>
        </w:rPr>
        <w:t>aggrieved</w:t>
      </w:r>
      <w:r w:rsidRPr="006D3D6F">
        <w:rPr>
          <w:color w:val="auto"/>
        </w:rPr>
        <w:t xml:space="preserve"> </w:t>
      </w:r>
      <w:r w:rsidRPr="006D3D6F">
        <w:rPr>
          <w:color w:val="auto"/>
          <w:u w:val="single"/>
        </w:rPr>
        <w:t>adversely affected</w:t>
      </w:r>
      <w:r w:rsidRPr="006D3D6F">
        <w:rPr>
          <w:color w:val="auto"/>
        </w:rPr>
        <w:t xml:space="preserve"> by a violation of this section may seek relief in an action at law or in equity for redress against any </w:t>
      </w:r>
      <w:r w:rsidRPr="006D3D6F">
        <w:rPr>
          <w:strike/>
          <w:color w:val="auto"/>
        </w:rPr>
        <w:t>person</w:t>
      </w:r>
      <w:r w:rsidRPr="006D3D6F">
        <w:rPr>
          <w:color w:val="auto"/>
        </w:rPr>
        <w:t xml:space="preserve"> </w:t>
      </w:r>
      <w:r w:rsidRPr="006D3D6F">
        <w:rPr>
          <w:color w:val="auto"/>
          <w:u w:val="single"/>
        </w:rPr>
        <w:t xml:space="preserve">state agency, political subdivision, or any elected or appointed official or employee of this state or of a political </w:t>
      </w:r>
      <w:r w:rsidRPr="006D3D6F">
        <w:rPr>
          <w:color w:val="auto"/>
          <w:u w:val="single"/>
        </w:rPr>
        <w:lastRenderedPageBreak/>
        <w:t>subdivision</w:t>
      </w:r>
      <w:r w:rsidRPr="006D3D6F">
        <w:rPr>
          <w:color w:val="auto"/>
        </w:rPr>
        <w:t xml:space="preserve"> who subjects such individual, or causes such individual to be subjected, to an action prohibited by this section.</w:t>
      </w:r>
    </w:p>
    <w:p w14:paraId="6C3A005D" w14:textId="3DE28ECB" w:rsidR="00E65EAF" w:rsidRPr="006D3D6F" w:rsidRDefault="00E65EAF" w:rsidP="004D0127">
      <w:pPr>
        <w:pStyle w:val="SectionBody"/>
        <w:rPr>
          <w:color w:val="auto"/>
        </w:rPr>
      </w:pPr>
      <w:r w:rsidRPr="006D3D6F">
        <w:rPr>
          <w:strike/>
          <w:color w:val="auto"/>
        </w:rPr>
        <w:t>(d)</w:t>
      </w:r>
      <w:r w:rsidRPr="006D3D6F">
        <w:rPr>
          <w:color w:val="auto"/>
          <w:u w:val="single"/>
        </w:rPr>
        <w:t>(</w:t>
      </w:r>
      <w:r w:rsidR="006D3D6F" w:rsidRPr="006D3D6F">
        <w:rPr>
          <w:color w:val="auto"/>
          <w:u w:val="single"/>
        </w:rPr>
        <w:t>c</w:t>
      </w:r>
      <w:r w:rsidRPr="006D3D6F">
        <w:rPr>
          <w:color w:val="auto"/>
          <w:u w:val="single"/>
        </w:rPr>
        <w:t>)</w:t>
      </w:r>
      <w:r w:rsidRPr="006D3D6F">
        <w:rPr>
          <w:color w:val="auto"/>
        </w:rPr>
        <w:t xml:space="preserve"> In addition to any other remedy at law or in equity, an individual </w:t>
      </w:r>
      <w:r w:rsidRPr="006D3D6F">
        <w:rPr>
          <w:strike/>
          <w:color w:val="auto"/>
        </w:rPr>
        <w:t>aggrieved</w:t>
      </w:r>
      <w:r w:rsidRPr="006D3D6F">
        <w:rPr>
          <w:color w:val="auto"/>
        </w:rPr>
        <w:t xml:space="preserve"> </w:t>
      </w:r>
      <w:r w:rsidRPr="006D3D6F">
        <w:rPr>
          <w:color w:val="auto"/>
          <w:u w:val="single"/>
        </w:rPr>
        <w:t>adversely affected</w:t>
      </w:r>
      <w:r w:rsidRPr="006D3D6F">
        <w:rPr>
          <w:color w:val="auto"/>
        </w:rPr>
        <w:t xml:space="preserve"> by the seizure or confiscation of a firearm or ammunition in violation of this section may bring an action for the return of such firearm or ammunition in the circuit court of the county in which that individual resides or in which such firearm or ammunition is located.</w:t>
      </w:r>
    </w:p>
    <w:p w14:paraId="3A8A6213" w14:textId="7D14209B" w:rsidR="00E65EAF" w:rsidRPr="006D3D6F" w:rsidRDefault="00E65EAF" w:rsidP="004D0127">
      <w:pPr>
        <w:pStyle w:val="SectionBody"/>
        <w:rPr>
          <w:color w:val="auto"/>
          <w:u w:val="single"/>
        </w:rPr>
      </w:pPr>
      <w:r w:rsidRPr="006D3D6F">
        <w:rPr>
          <w:color w:val="auto"/>
          <w:u w:val="single"/>
        </w:rPr>
        <w:t>(</w:t>
      </w:r>
      <w:r w:rsidR="006D3D6F" w:rsidRPr="006D3D6F">
        <w:rPr>
          <w:color w:val="auto"/>
          <w:u w:val="single"/>
        </w:rPr>
        <w:t>d</w:t>
      </w:r>
      <w:r w:rsidRPr="006D3D6F">
        <w:rPr>
          <w:color w:val="auto"/>
          <w:u w:val="single"/>
        </w:rPr>
        <w:t xml:space="preserve">) A person is “adversely affected” for purposes of subsection (b) of this </w:t>
      </w:r>
      <w:r w:rsidR="006D3D6F" w:rsidRPr="006D3D6F">
        <w:rPr>
          <w:color w:val="auto"/>
          <w:u w:val="single"/>
        </w:rPr>
        <w:t>section</w:t>
      </w:r>
      <w:r w:rsidRPr="006D3D6F">
        <w:rPr>
          <w:color w:val="auto"/>
          <w:u w:val="single"/>
        </w:rPr>
        <w:t xml:space="preserve"> if either of the following applies:</w:t>
      </w:r>
    </w:p>
    <w:p w14:paraId="034706D4" w14:textId="77777777" w:rsidR="00E65EAF" w:rsidRPr="006D3D6F" w:rsidRDefault="00E65EAF" w:rsidP="004D0127">
      <w:pPr>
        <w:pStyle w:val="SectionBody"/>
        <w:rPr>
          <w:color w:val="auto"/>
          <w:u w:val="single"/>
        </w:rPr>
      </w:pPr>
      <w:r w:rsidRPr="006D3D6F">
        <w:rPr>
          <w:color w:val="auto"/>
          <w:u w:val="single"/>
        </w:rPr>
        <w:t>(1) The person is an individual who meets all of the following requirements:</w:t>
      </w:r>
    </w:p>
    <w:p w14:paraId="10D5DB1D" w14:textId="77777777" w:rsidR="00E65EAF" w:rsidRPr="006D3D6F" w:rsidRDefault="00E65EAF" w:rsidP="004D0127">
      <w:pPr>
        <w:pStyle w:val="SectionBody"/>
        <w:rPr>
          <w:color w:val="auto"/>
          <w:u w:val="single"/>
        </w:rPr>
      </w:pPr>
      <w:r w:rsidRPr="006D3D6F">
        <w:rPr>
          <w:color w:val="auto"/>
          <w:u w:val="single"/>
        </w:rPr>
        <w:t>(A) The individual lawfully resides within the United States.</w:t>
      </w:r>
    </w:p>
    <w:p w14:paraId="797BBE4A" w14:textId="77777777" w:rsidR="00E65EAF" w:rsidRPr="006D3D6F" w:rsidRDefault="00E65EAF" w:rsidP="004D0127">
      <w:pPr>
        <w:pStyle w:val="SectionBody"/>
        <w:rPr>
          <w:color w:val="auto"/>
          <w:u w:val="single"/>
        </w:rPr>
      </w:pPr>
      <w:r w:rsidRPr="006D3D6F">
        <w:rPr>
          <w:color w:val="auto"/>
          <w:u w:val="single"/>
        </w:rPr>
        <w:t>(B) The individual may legally possess a firearm under the laws of West Virginia.</w:t>
      </w:r>
    </w:p>
    <w:p w14:paraId="068E9C66" w14:textId="77777777" w:rsidR="00E65EAF" w:rsidRPr="006D3D6F" w:rsidRDefault="00E65EAF" w:rsidP="004D0127">
      <w:pPr>
        <w:pStyle w:val="SectionBody"/>
        <w:rPr>
          <w:color w:val="auto"/>
          <w:u w:val="single"/>
        </w:rPr>
      </w:pPr>
      <w:r w:rsidRPr="006D3D6F">
        <w:rPr>
          <w:color w:val="auto"/>
          <w:u w:val="single"/>
        </w:rPr>
        <w:t>(C) The individual is or was subject to the action, ordinance, measure, enactment, rule, or policy of the state agency, political subdivision, or any elected or appointed official or employee of this state or of a political subdivision that is the subject of an action filed under subsection (b). An individual is or was subject to the action, ordinance, measure, enactment, rule, or policy of the political subdivision if the individual is or was physically present within the boundaries of the political subdivision for any reason.</w:t>
      </w:r>
    </w:p>
    <w:p w14:paraId="6C687724" w14:textId="77777777" w:rsidR="00E65EAF" w:rsidRPr="006D3D6F" w:rsidRDefault="00E65EAF" w:rsidP="004D0127">
      <w:pPr>
        <w:pStyle w:val="SectionBody"/>
        <w:rPr>
          <w:color w:val="auto"/>
          <w:u w:val="single"/>
        </w:rPr>
      </w:pPr>
      <w:r w:rsidRPr="006D3D6F">
        <w:rPr>
          <w:color w:val="auto"/>
          <w:u w:val="single"/>
        </w:rPr>
        <w:t>(2) The person is a membership organization that:</w:t>
      </w:r>
    </w:p>
    <w:p w14:paraId="2E9CCA42" w14:textId="1CBA0D44" w:rsidR="00E65EAF" w:rsidRPr="006D3D6F" w:rsidRDefault="00E65EAF" w:rsidP="004D0127">
      <w:pPr>
        <w:pStyle w:val="SectionBody"/>
        <w:rPr>
          <w:color w:val="auto"/>
          <w:u w:val="single"/>
        </w:rPr>
      </w:pPr>
      <w:r w:rsidRPr="006D3D6F">
        <w:rPr>
          <w:color w:val="auto"/>
          <w:u w:val="single"/>
        </w:rPr>
        <w:t xml:space="preserve">(A) </w:t>
      </w:r>
      <w:r w:rsidR="00EB6217" w:rsidRPr="006D3D6F">
        <w:rPr>
          <w:color w:val="auto"/>
          <w:u w:val="single"/>
        </w:rPr>
        <w:t>I</w:t>
      </w:r>
      <w:r w:rsidRPr="006D3D6F">
        <w:rPr>
          <w:color w:val="auto"/>
          <w:u w:val="single"/>
        </w:rPr>
        <w:t>ncludes two (2) or more individuals described in subdivision (1); and</w:t>
      </w:r>
    </w:p>
    <w:p w14:paraId="602A0415" w14:textId="4EEA1113" w:rsidR="00E65EAF" w:rsidRPr="006D3D6F" w:rsidRDefault="00E65EAF" w:rsidP="004D0127">
      <w:pPr>
        <w:pStyle w:val="SectionBody"/>
        <w:rPr>
          <w:color w:val="auto"/>
          <w:u w:val="single"/>
        </w:rPr>
      </w:pPr>
      <w:r w:rsidRPr="006D3D6F">
        <w:rPr>
          <w:color w:val="auto"/>
          <w:u w:val="single"/>
        </w:rPr>
        <w:t xml:space="preserve">(B) </w:t>
      </w:r>
      <w:r w:rsidR="00EB6217" w:rsidRPr="006D3D6F">
        <w:rPr>
          <w:color w:val="auto"/>
          <w:u w:val="single"/>
        </w:rPr>
        <w:t>I</w:t>
      </w:r>
      <w:r w:rsidRPr="006D3D6F">
        <w:rPr>
          <w:color w:val="auto"/>
          <w:u w:val="single"/>
        </w:rPr>
        <w:t>s dedicated in whole or in part to protecting the rights of persons who possess, own, or use firearms for competitive, sporting, defensive, or other lawful purposes.</w:t>
      </w:r>
    </w:p>
    <w:p w14:paraId="547CB473" w14:textId="2AC27390" w:rsidR="00E65EAF" w:rsidRPr="006D3D6F" w:rsidRDefault="00E65EAF" w:rsidP="004D0127">
      <w:pPr>
        <w:pStyle w:val="SectionBody"/>
        <w:rPr>
          <w:color w:val="auto"/>
          <w:u w:val="single"/>
        </w:rPr>
      </w:pPr>
      <w:r w:rsidRPr="006D3D6F">
        <w:rPr>
          <w:color w:val="auto"/>
        </w:rPr>
        <w:t xml:space="preserve">(e) </w:t>
      </w:r>
      <w:r w:rsidRPr="006D3D6F">
        <w:rPr>
          <w:strike/>
          <w:color w:val="auto"/>
        </w:rPr>
        <w:t>In any action or proceeding to enforce this section, the court shall award a prevailing plaintiff costs and reasonable attorney fees</w:t>
      </w:r>
      <w:r w:rsidRPr="006D3D6F">
        <w:rPr>
          <w:color w:val="auto"/>
        </w:rPr>
        <w:t xml:space="preserve"> </w:t>
      </w:r>
      <w:r w:rsidRPr="006D3D6F">
        <w:rPr>
          <w:color w:val="auto"/>
          <w:u w:val="single"/>
        </w:rPr>
        <w:t>A prevailing plaintiff in an action under this section is entitled to recover from the defendant the following:</w:t>
      </w:r>
    </w:p>
    <w:p w14:paraId="22394ED4" w14:textId="77777777" w:rsidR="00E65EAF" w:rsidRPr="006D3D6F" w:rsidRDefault="00E65EAF" w:rsidP="004D0127">
      <w:pPr>
        <w:pStyle w:val="SectionBody"/>
        <w:rPr>
          <w:color w:val="auto"/>
          <w:u w:val="single"/>
        </w:rPr>
      </w:pPr>
      <w:r w:rsidRPr="006D3D6F">
        <w:rPr>
          <w:color w:val="auto"/>
          <w:u w:val="single"/>
        </w:rPr>
        <w:t>(1) The greater of the following:</w:t>
      </w:r>
    </w:p>
    <w:p w14:paraId="73F64614" w14:textId="77777777" w:rsidR="00E65EAF" w:rsidRPr="006D3D6F" w:rsidRDefault="00E65EAF" w:rsidP="004D0127">
      <w:pPr>
        <w:pStyle w:val="SectionBody"/>
        <w:rPr>
          <w:color w:val="auto"/>
          <w:u w:val="single"/>
        </w:rPr>
      </w:pPr>
      <w:r w:rsidRPr="006D3D6F">
        <w:rPr>
          <w:color w:val="auto"/>
          <w:u w:val="single"/>
        </w:rPr>
        <w:t>(A) Actual damages, including consequential damages.</w:t>
      </w:r>
    </w:p>
    <w:p w14:paraId="68F2D968" w14:textId="77777777" w:rsidR="00E65EAF" w:rsidRPr="006D3D6F" w:rsidRDefault="00E65EAF" w:rsidP="004D0127">
      <w:pPr>
        <w:pStyle w:val="SectionBody"/>
        <w:rPr>
          <w:color w:val="auto"/>
          <w:u w:val="single"/>
        </w:rPr>
      </w:pPr>
      <w:r w:rsidRPr="006D3D6F">
        <w:rPr>
          <w:color w:val="auto"/>
          <w:u w:val="single"/>
        </w:rPr>
        <w:lastRenderedPageBreak/>
        <w:t>(B) Liquidated damages of three (3) times the plaintiff's attorney's fees.</w:t>
      </w:r>
    </w:p>
    <w:p w14:paraId="4749DD1C" w14:textId="77777777" w:rsidR="00E65EAF" w:rsidRPr="006D3D6F" w:rsidRDefault="00E65EAF" w:rsidP="004D0127">
      <w:pPr>
        <w:pStyle w:val="SectionBody"/>
        <w:rPr>
          <w:color w:val="auto"/>
          <w:u w:val="single"/>
        </w:rPr>
      </w:pPr>
      <w:r w:rsidRPr="006D3D6F">
        <w:rPr>
          <w:color w:val="auto"/>
          <w:u w:val="single"/>
        </w:rPr>
        <w:t>(2) Court costs (including fees).</w:t>
      </w:r>
    </w:p>
    <w:p w14:paraId="5ED7671C" w14:textId="77777777" w:rsidR="00E65EAF" w:rsidRPr="006D3D6F" w:rsidRDefault="00E65EAF" w:rsidP="004D0127">
      <w:pPr>
        <w:pStyle w:val="SectionBody"/>
        <w:rPr>
          <w:color w:val="auto"/>
          <w:u w:val="single"/>
        </w:rPr>
      </w:pPr>
      <w:r w:rsidRPr="006D3D6F">
        <w:rPr>
          <w:color w:val="auto"/>
          <w:u w:val="single"/>
        </w:rPr>
        <w:t>(3) Reasonable attorney's fees.</w:t>
      </w:r>
    </w:p>
    <w:p w14:paraId="6F106C60" w14:textId="21E71F07" w:rsidR="00703793" w:rsidRPr="006D3D6F" w:rsidRDefault="00703793" w:rsidP="00703793">
      <w:pPr>
        <w:rPr>
          <w:color w:val="auto"/>
        </w:rPr>
        <w:sectPr w:rsidR="00703793" w:rsidRPr="006D3D6F" w:rsidSect="00620624">
          <w:type w:val="continuous"/>
          <w:pgSz w:w="12240" w:h="15840"/>
          <w:pgMar w:top="1440" w:right="1440" w:bottom="1440" w:left="1440" w:header="720" w:footer="720" w:gutter="0"/>
          <w:lnNumType w:countBy="1" w:restart="newSection"/>
          <w:cols w:space="720"/>
          <w:noEndnote/>
          <w:docGrid w:linePitch="326"/>
        </w:sectPr>
      </w:pPr>
    </w:p>
    <w:p w14:paraId="3A19E9F5" w14:textId="77777777" w:rsidR="00E65EAF" w:rsidRPr="006D3D6F" w:rsidRDefault="00E65EAF" w:rsidP="00703793">
      <w:pPr>
        <w:pStyle w:val="Note"/>
        <w:rPr>
          <w:color w:val="auto"/>
        </w:rPr>
      </w:pPr>
    </w:p>
    <w:p w14:paraId="2E61F3E5" w14:textId="49A78158" w:rsidR="00B32ACF" w:rsidRPr="006D3D6F" w:rsidRDefault="00CF1DCA" w:rsidP="00703793">
      <w:pPr>
        <w:pStyle w:val="Note"/>
        <w:rPr>
          <w:color w:val="auto"/>
        </w:rPr>
      </w:pPr>
      <w:r w:rsidRPr="006D3D6F">
        <w:rPr>
          <w:color w:val="auto"/>
        </w:rPr>
        <w:t>NOTE: The</w:t>
      </w:r>
      <w:r w:rsidR="006865E9" w:rsidRPr="006D3D6F">
        <w:rPr>
          <w:color w:val="auto"/>
        </w:rPr>
        <w:t xml:space="preserve"> purpose of this bill is to </w:t>
      </w:r>
      <w:r w:rsidR="00703793" w:rsidRPr="006D3D6F">
        <w:rPr>
          <w:color w:val="auto"/>
        </w:rPr>
        <w:t xml:space="preserve">modify the authority of the state government for </w:t>
      </w:r>
      <w:r w:rsidR="00E65EAF" w:rsidRPr="006D3D6F">
        <w:rPr>
          <w:color w:val="auto"/>
        </w:rPr>
        <w:t>the individual</w:t>
      </w:r>
      <w:r w:rsidR="00703793" w:rsidRPr="006D3D6F">
        <w:rPr>
          <w:color w:val="auto"/>
        </w:rPr>
        <w:t xml:space="preserve"> possession</w:t>
      </w:r>
      <w:r w:rsidR="00E65EAF" w:rsidRPr="006D3D6F">
        <w:rPr>
          <w:color w:val="auto"/>
        </w:rPr>
        <w:t xml:space="preserve"> of firearms</w:t>
      </w:r>
      <w:r w:rsidR="00703793" w:rsidRPr="006D3D6F">
        <w:rPr>
          <w:color w:val="auto"/>
        </w:rPr>
        <w:t xml:space="preserve"> during a declared state of emergency</w:t>
      </w:r>
      <w:r w:rsidR="00B32ACF" w:rsidRPr="006D3D6F">
        <w:rPr>
          <w:color w:val="auto"/>
        </w:rPr>
        <w:t xml:space="preserve">. </w:t>
      </w:r>
    </w:p>
    <w:p w14:paraId="7ED6528F" w14:textId="3E4EB08F" w:rsidR="006865E9" w:rsidRPr="006D3D6F" w:rsidRDefault="00AE48A0" w:rsidP="00CC1F3B">
      <w:pPr>
        <w:pStyle w:val="Note"/>
        <w:rPr>
          <w:color w:val="auto"/>
        </w:rPr>
      </w:pPr>
      <w:r w:rsidRPr="006D3D6F">
        <w:rPr>
          <w:color w:val="auto"/>
        </w:rPr>
        <w:t>Strike-throughs indicate language that would be stricken from a heading or the present law</w:t>
      </w:r>
      <w:r w:rsidR="001E11A6" w:rsidRPr="006D3D6F">
        <w:rPr>
          <w:color w:val="auto"/>
        </w:rPr>
        <w:t>,</w:t>
      </w:r>
      <w:r w:rsidRPr="006D3D6F">
        <w:rPr>
          <w:color w:val="auto"/>
        </w:rPr>
        <w:t xml:space="preserve"> and underscoring indicates new language that would be added.</w:t>
      </w:r>
    </w:p>
    <w:sectPr w:rsidR="006865E9" w:rsidRPr="006D3D6F" w:rsidSect="006206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AC00" w14:textId="77777777" w:rsidR="006369EB" w:rsidRPr="00B844FE" w:rsidRDefault="006369EB" w:rsidP="00B844FE">
      <w:r>
        <w:separator/>
      </w:r>
    </w:p>
  </w:endnote>
  <w:endnote w:type="continuationSeparator" w:id="0">
    <w:p w14:paraId="2C70897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F244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4522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E5A4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A24E4" w14:textId="77777777" w:rsidR="006369EB" w:rsidRPr="00B844FE" w:rsidRDefault="006369EB" w:rsidP="00B844FE">
      <w:r>
        <w:separator/>
      </w:r>
    </w:p>
  </w:footnote>
  <w:footnote w:type="continuationSeparator" w:id="0">
    <w:p w14:paraId="4CDDE06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1F01" w14:textId="056CA251" w:rsidR="002A0269" w:rsidRPr="00B844FE" w:rsidRDefault="00243C0F">
    <w:pPr>
      <w:pStyle w:val="Header"/>
    </w:pPr>
    <w:sdt>
      <w:sdtPr>
        <w:id w:val="-684364211"/>
        <w:placeholder>
          <w:docPart w:val="4A3865B5169449BA8162585DB84D3B51"/>
        </w:placeholder>
        <w:temporary/>
        <w:showingPlcHdr/>
        <w15:appearance w15:val="hidden"/>
      </w:sdtPr>
      <w:sdtEndPr/>
      <w:sdtContent>
        <w:r w:rsidR="00D14E2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14E2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7627" w14:textId="068AE91F" w:rsidR="00C33014" w:rsidRPr="00C33014" w:rsidRDefault="00AE48A0" w:rsidP="000573A9">
    <w:pPr>
      <w:pStyle w:val="HeaderStyle"/>
    </w:pPr>
    <w:r>
      <w:t>I</w:t>
    </w:r>
    <w:r w:rsidR="001A66B7">
      <w:t xml:space="preserve">ntr </w:t>
    </w:r>
    <w:r w:rsidR="00E736BF">
      <w:t>SB</w:t>
    </w:r>
    <w:r w:rsidR="00D14E2C">
      <w:t xml:space="preserve"> </w:t>
    </w:r>
    <w:r w:rsidR="00FB464F">
      <w:t>451</w:t>
    </w:r>
    <w:r w:rsidR="00C33014" w:rsidRPr="002A0269">
      <w:ptab w:relativeTo="margin" w:alignment="center" w:leader="none"/>
    </w:r>
    <w:r w:rsidR="00C33014">
      <w:tab/>
    </w:r>
    <w:r w:rsidR="00E736BF">
      <w:t>202</w:t>
    </w:r>
    <w:r w:rsidR="00E42873">
      <w:t>1R</w:t>
    </w:r>
    <w:r w:rsidR="00703793">
      <w:t>2245</w:t>
    </w:r>
  </w:p>
  <w:p w14:paraId="5DF06EE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6886" w14:textId="4D981236" w:rsidR="00E736BF" w:rsidRDefault="00E42873">
    <w:pPr>
      <w:pStyle w:val="Header"/>
    </w:pPr>
    <w:r>
      <w:tab/>
    </w:r>
    <w:r w:rsidR="00BF42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MzMDSwNLEwNTVR0lEKTi0uzszPAykwrAUAEXftCSwAAAA="/>
  </w:docVars>
  <w:rsids>
    <w:rsidRoot w:val="000E3912"/>
    <w:rsid w:val="0000526A"/>
    <w:rsid w:val="00006B36"/>
    <w:rsid w:val="000573A9"/>
    <w:rsid w:val="00067770"/>
    <w:rsid w:val="00085D22"/>
    <w:rsid w:val="000C5C77"/>
    <w:rsid w:val="000E3912"/>
    <w:rsid w:val="0010070F"/>
    <w:rsid w:val="00113214"/>
    <w:rsid w:val="0015112E"/>
    <w:rsid w:val="001552E7"/>
    <w:rsid w:val="001566B4"/>
    <w:rsid w:val="00171479"/>
    <w:rsid w:val="001A66B7"/>
    <w:rsid w:val="001C279E"/>
    <w:rsid w:val="001D459E"/>
    <w:rsid w:val="001E11A6"/>
    <w:rsid w:val="002268E4"/>
    <w:rsid w:val="00243C0F"/>
    <w:rsid w:val="0024788F"/>
    <w:rsid w:val="0027011C"/>
    <w:rsid w:val="00274200"/>
    <w:rsid w:val="00275740"/>
    <w:rsid w:val="002A0269"/>
    <w:rsid w:val="00303684"/>
    <w:rsid w:val="003143F5"/>
    <w:rsid w:val="00314854"/>
    <w:rsid w:val="00372C36"/>
    <w:rsid w:val="00394191"/>
    <w:rsid w:val="00397982"/>
    <w:rsid w:val="003C51CD"/>
    <w:rsid w:val="004368E0"/>
    <w:rsid w:val="004642B2"/>
    <w:rsid w:val="00467D29"/>
    <w:rsid w:val="00481A18"/>
    <w:rsid w:val="004C13DD"/>
    <w:rsid w:val="004C7790"/>
    <w:rsid w:val="004D0127"/>
    <w:rsid w:val="004E3441"/>
    <w:rsid w:val="00500579"/>
    <w:rsid w:val="00513E01"/>
    <w:rsid w:val="00592818"/>
    <w:rsid w:val="005A5366"/>
    <w:rsid w:val="005F5ECB"/>
    <w:rsid w:val="00620624"/>
    <w:rsid w:val="00633451"/>
    <w:rsid w:val="006369EB"/>
    <w:rsid w:val="00637E73"/>
    <w:rsid w:val="006865E9"/>
    <w:rsid w:val="00691F3E"/>
    <w:rsid w:val="00691FDA"/>
    <w:rsid w:val="00694BFB"/>
    <w:rsid w:val="006A106B"/>
    <w:rsid w:val="006C523D"/>
    <w:rsid w:val="006D3D6F"/>
    <w:rsid w:val="006D4036"/>
    <w:rsid w:val="006F5E6D"/>
    <w:rsid w:val="00703793"/>
    <w:rsid w:val="007048BE"/>
    <w:rsid w:val="007423F5"/>
    <w:rsid w:val="007A0B8F"/>
    <w:rsid w:val="007A5259"/>
    <w:rsid w:val="007A7081"/>
    <w:rsid w:val="007F1660"/>
    <w:rsid w:val="007F1CF5"/>
    <w:rsid w:val="00834EDE"/>
    <w:rsid w:val="008736AA"/>
    <w:rsid w:val="008C41E8"/>
    <w:rsid w:val="008D275D"/>
    <w:rsid w:val="0092676E"/>
    <w:rsid w:val="00947870"/>
    <w:rsid w:val="00980327"/>
    <w:rsid w:val="00986478"/>
    <w:rsid w:val="009A38EC"/>
    <w:rsid w:val="009B5557"/>
    <w:rsid w:val="009F0B6F"/>
    <w:rsid w:val="009F1067"/>
    <w:rsid w:val="00A31E01"/>
    <w:rsid w:val="00A527AD"/>
    <w:rsid w:val="00A718CF"/>
    <w:rsid w:val="00AB367E"/>
    <w:rsid w:val="00AE48A0"/>
    <w:rsid w:val="00AE61BE"/>
    <w:rsid w:val="00B16F25"/>
    <w:rsid w:val="00B24422"/>
    <w:rsid w:val="00B32ACF"/>
    <w:rsid w:val="00B41AC2"/>
    <w:rsid w:val="00B66B81"/>
    <w:rsid w:val="00B80C20"/>
    <w:rsid w:val="00B844FE"/>
    <w:rsid w:val="00B86B4F"/>
    <w:rsid w:val="00BA1F84"/>
    <w:rsid w:val="00BC562B"/>
    <w:rsid w:val="00BF42A2"/>
    <w:rsid w:val="00C33014"/>
    <w:rsid w:val="00C33434"/>
    <w:rsid w:val="00C34869"/>
    <w:rsid w:val="00C42EB6"/>
    <w:rsid w:val="00C85096"/>
    <w:rsid w:val="00CB20EF"/>
    <w:rsid w:val="00CB6C1E"/>
    <w:rsid w:val="00CC1F3B"/>
    <w:rsid w:val="00CC44CD"/>
    <w:rsid w:val="00CD12CB"/>
    <w:rsid w:val="00CD36CF"/>
    <w:rsid w:val="00CF1DCA"/>
    <w:rsid w:val="00D14E2C"/>
    <w:rsid w:val="00D43EBC"/>
    <w:rsid w:val="00D579FC"/>
    <w:rsid w:val="00D81C16"/>
    <w:rsid w:val="00D91320"/>
    <w:rsid w:val="00DB5205"/>
    <w:rsid w:val="00DE526B"/>
    <w:rsid w:val="00DF199D"/>
    <w:rsid w:val="00E01542"/>
    <w:rsid w:val="00E02EBC"/>
    <w:rsid w:val="00E365F1"/>
    <w:rsid w:val="00E42873"/>
    <w:rsid w:val="00E62F48"/>
    <w:rsid w:val="00E65EAF"/>
    <w:rsid w:val="00E736BF"/>
    <w:rsid w:val="00E831B3"/>
    <w:rsid w:val="00E95FBC"/>
    <w:rsid w:val="00EB6217"/>
    <w:rsid w:val="00EE70CB"/>
    <w:rsid w:val="00F41CA2"/>
    <w:rsid w:val="00F443C0"/>
    <w:rsid w:val="00F62EFB"/>
    <w:rsid w:val="00F939A4"/>
    <w:rsid w:val="00FA7B09"/>
    <w:rsid w:val="00FB464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7418BAE"/>
  <w15:chartTrackingRefBased/>
  <w15:docId w15:val="{E8076948-49F0-4562-97C8-9721CB4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B32ACF"/>
    <w:rPr>
      <w:rFonts w:eastAsia="Calibri"/>
      <w:color w:val="000000"/>
    </w:rPr>
  </w:style>
  <w:style w:type="character" w:customStyle="1" w:styleId="ArticleHeadingChar">
    <w:name w:val="Article Heading Char"/>
    <w:link w:val="ArticleHeading"/>
    <w:rsid w:val="00B32ACF"/>
    <w:rPr>
      <w:rFonts w:eastAsia="Calibri"/>
      <w:b/>
      <w:caps/>
      <w:color w:val="000000"/>
      <w:sz w:val="24"/>
    </w:rPr>
  </w:style>
  <w:style w:type="character" w:customStyle="1" w:styleId="SectionHeadingChar">
    <w:name w:val="Section Heading Char"/>
    <w:link w:val="SectionHeading"/>
    <w:rsid w:val="00B32ACF"/>
    <w:rPr>
      <w:rFonts w:eastAsia="Calibri"/>
      <w:b/>
      <w:color w:val="000000"/>
    </w:rPr>
  </w:style>
  <w:style w:type="character" w:customStyle="1" w:styleId="SectionBodyChar">
    <w:name w:val="Section Body Char"/>
    <w:link w:val="SectionBody"/>
    <w:rsid w:val="00B32ACF"/>
    <w:rPr>
      <w:rFonts w:eastAsia="Calibri"/>
      <w:color w:val="000000"/>
    </w:rPr>
  </w:style>
  <w:style w:type="paragraph" w:styleId="BodyText2">
    <w:name w:val="Body Text 2"/>
    <w:basedOn w:val="Normal"/>
    <w:link w:val="BodyText2Char"/>
    <w:uiPriority w:val="99"/>
    <w:semiHidden/>
    <w:unhideWhenUsed/>
    <w:locked/>
    <w:rsid w:val="00B32AC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B32ACF"/>
    <w:rPr>
      <w:rFonts w:ascii="Times New Roman" w:eastAsiaTheme="minorEastAsia" w:hAnsi="Times New Roman" w:cs="Times New Roman"/>
      <w:color w:val="auto"/>
      <w:sz w:val="24"/>
      <w:szCs w:val="24"/>
    </w:rPr>
  </w:style>
  <w:style w:type="character" w:customStyle="1" w:styleId="NoteChar">
    <w:name w:val="Note Char"/>
    <w:link w:val="Note"/>
    <w:rsid w:val="00B32ACF"/>
    <w:rPr>
      <w:rFonts w:eastAsia="Calibri"/>
      <w:color w:val="000000"/>
      <w:sz w:val="20"/>
    </w:rPr>
  </w:style>
  <w:style w:type="paragraph" w:styleId="BalloonText">
    <w:name w:val="Balloon Text"/>
    <w:basedOn w:val="Normal"/>
    <w:link w:val="BalloonTextChar"/>
    <w:uiPriority w:val="99"/>
    <w:semiHidden/>
    <w:unhideWhenUsed/>
    <w:locked/>
    <w:rsid w:val="00AB36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A015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A0153" w:rsidP="005A0153">
          <w:pPr>
            <w:pStyle w:val="20C22F1B7FBD4C33B249773D07E082F82"/>
          </w:pPr>
          <w:r w:rsidRPr="0011321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75D2A"/>
    <w:rsid w:val="004D330C"/>
    <w:rsid w:val="005A0153"/>
    <w:rsid w:val="00BC7E9A"/>
    <w:rsid w:val="00D9298D"/>
    <w:rsid w:val="00DE21D1"/>
    <w:rsid w:val="00E3739E"/>
    <w:rsid w:val="00EA0F81"/>
    <w:rsid w:val="00F8043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A0153"/>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5A015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348E-18B6-4078-8661-3A554424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1514</Words>
  <Characters>9148</Characters>
  <Application>Microsoft Office Word</Application>
  <DocSecurity>0</DocSecurity>
  <Lines>703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2021-02-24T19:54:00Z</cp:lastPrinted>
  <dcterms:created xsi:type="dcterms:W3CDTF">2021-02-16T16:30:00Z</dcterms:created>
  <dcterms:modified xsi:type="dcterms:W3CDTF">2021-02-25T20:43:00Z</dcterms:modified>
</cp:coreProperties>
</file>